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865C2" w14:textId="245FACB2" w:rsidR="00FF1EFD" w:rsidRPr="00385677" w:rsidRDefault="00D42F33" w:rsidP="003804EF">
      <w:pPr>
        <w:jc w:val="center"/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TERMO DE ANÁLISE E ATESTADO DE CREDENCIAMENTO D</w:t>
      </w:r>
      <w:r w:rsidR="001A518B">
        <w:rPr>
          <w:b/>
          <w:bCs/>
          <w:color w:val="3B3B98"/>
          <w:sz w:val="28"/>
          <w:szCs w:val="28"/>
        </w:rPr>
        <w:t>A</w:t>
      </w:r>
      <w:r w:rsidRPr="00385677">
        <w:rPr>
          <w:b/>
          <w:bCs/>
          <w:color w:val="3B3B98"/>
          <w:sz w:val="28"/>
          <w:szCs w:val="28"/>
        </w:rPr>
        <w:t xml:space="preserve"> </w:t>
      </w:r>
      <w:r w:rsidR="001A518B">
        <w:rPr>
          <w:b/>
          <w:bCs/>
          <w:color w:val="3B3B98"/>
          <w:sz w:val="28"/>
          <w:szCs w:val="28"/>
        </w:rPr>
        <w:t>CORRETORA DE VALORES MOBILIÁRIOS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07"/>
        <w:gridCol w:w="2687"/>
      </w:tblGrid>
      <w:tr w:rsidR="006A19E0" w14:paraId="03DB28FC" w14:textId="77777777" w:rsidTr="00385677">
        <w:tc>
          <w:tcPr>
            <w:tcW w:w="5807" w:type="dxa"/>
            <w:shd w:val="clear" w:color="auto" w:fill="3B3B98"/>
          </w:tcPr>
          <w:p w14:paraId="7C1DB0DE" w14:textId="36E2A52A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Termo de Análise de Credenciamento</w:t>
            </w:r>
          </w:p>
        </w:tc>
        <w:tc>
          <w:tcPr>
            <w:tcW w:w="2687" w:type="dxa"/>
          </w:tcPr>
          <w:p w14:paraId="1A171DB3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6A19E0" w14:paraId="423ED60F" w14:textId="77777777" w:rsidTr="00385677">
        <w:tc>
          <w:tcPr>
            <w:tcW w:w="5807" w:type="dxa"/>
            <w:shd w:val="clear" w:color="auto" w:fill="3B3B98"/>
          </w:tcPr>
          <w:p w14:paraId="09BFED91" w14:textId="059F2489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Processo</w:t>
            </w:r>
          </w:p>
        </w:tc>
        <w:tc>
          <w:tcPr>
            <w:tcW w:w="2687" w:type="dxa"/>
          </w:tcPr>
          <w:p w14:paraId="230998FD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651D9A33" w14:textId="77777777" w:rsidR="00AA0BB3" w:rsidRDefault="00AA0BB3" w:rsidP="00D42F33">
      <w:pPr>
        <w:rPr>
          <w:b/>
          <w:bCs/>
        </w:rPr>
      </w:pPr>
    </w:p>
    <w:p w14:paraId="24F66C5E" w14:textId="7E41896B" w:rsidR="00AA0BB3" w:rsidRPr="00385677" w:rsidRDefault="00AA0BB3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 - DO REGIME PRÓPRIO DE PREVIDÊNCIA SOCIAL – RPPS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82"/>
        <w:gridCol w:w="3112"/>
      </w:tblGrid>
      <w:tr w:rsidR="00385677" w:rsidRPr="00385677" w14:paraId="6C1C494B" w14:textId="77777777" w:rsidTr="00ED5712">
        <w:tc>
          <w:tcPr>
            <w:tcW w:w="5382" w:type="dxa"/>
          </w:tcPr>
          <w:p w14:paraId="27DADC30" w14:textId="74D82923" w:rsidR="00AA0BB3" w:rsidRPr="00385677" w:rsidRDefault="00ED5712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Ente Federativo</w:t>
            </w:r>
            <w:r w:rsidR="003804EF" w:rsidRPr="00385677">
              <w:rPr>
                <w:b/>
                <w:bCs/>
                <w:color w:val="3B3B98"/>
              </w:rPr>
              <w:t>:</w:t>
            </w:r>
            <w:r w:rsidR="004E3710" w:rsidRPr="00385677">
              <w:rPr>
                <w:b/>
                <w:bCs/>
                <w:color w:val="3B3B98"/>
              </w:rPr>
              <w:t xml:space="preserve"> </w:t>
            </w:r>
          </w:p>
        </w:tc>
        <w:tc>
          <w:tcPr>
            <w:tcW w:w="3112" w:type="dxa"/>
          </w:tcPr>
          <w:p w14:paraId="123DE8E5" w14:textId="2CFF0A66" w:rsidR="00ED5712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  <w:tr w:rsidR="00AA0BB3" w:rsidRPr="00385677" w14:paraId="2F2A19B0" w14:textId="77777777" w:rsidTr="00ED5712">
        <w:tc>
          <w:tcPr>
            <w:tcW w:w="5382" w:type="dxa"/>
          </w:tcPr>
          <w:p w14:paraId="1434B39E" w14:textId="635F264D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Unidade Gestora do RPPS</w:t>
            </w:r>
            <w:r w:rsidR="003804EF" w:rsidRPr="00385677">
              <w:rPr>
                <w:b/>
                <w:bCs/>
                <w:color w:val="3B3B98"/>
              </w:rPr>
              <w:t xml:space="preserve">: </w:t>
            </w:r>
          </w:p>
        </w:tc>
        <w:tc>
          <w:tcPr>
            <w:tcW w:w="3112" w:type="dxa"/>
          </w:tcPr>
          <w:p w14:paraId="44DB6121" w14:textId="4F3EAA12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</w:tbl>
    <w:p w14:paraId="7F887544" w14:textId="77777777" w:rsidR="00AA0BB3" w:rsidRPr="00385677" w:rsidRDefault="00AA0BB3" w:rsidP="00D42F33">
      <w:pPr>
        <w:rPr>
          <w:b/>
          <w:bCs/>
          <w:color w:val="3B3B98"/>
        </w:rPr>
      </w:pPr>
    </w:p>
    <w:p w14:paraId="5638E559" w14:textId="684AE5EF" w:rsidR="00021AF0" w:rsidRPr="00385677" w:rsidRDefault="00021AF0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II - DA INSTITUIÇÃO A SER CREDENCIADA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539"/>
        <w:gridCol w:w="707"/>
      </w:tblGrid>
      <w:tr w:rsidR="001A518B" w:rsidRPr="00385677" w14:paraId="43E34B13" w14:textId="77777777" w:rsidTr="004E5418">
        <w:trPr>
          <w:trHeight w:val="397"/>
        </w:trPr>
        <w:tc>
          <w:tcPr>
            <w:tcW w:w="3539" w:type="dxa"/>
            <w:vAlign w:val="center"/>
          </w:tcPr>
          <w:p w14:paraId="719B2060" w14:textId="0619FA86" w:rsidR="001A518B" w:rsidRPr="00385677" w:rsidRDefault="001A518B" w:rsidP="004E5418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Corretora</w:t>
            </w:r>
          </w:p>
        </w:tc>
        <w:tc>
          <w:tcPr>
            <w:tcW w:w="707" w:type="dxa"/>
            <w:vAlign w:val="center"/>
          </w:tcPr>
          <w:p w14:paraId="6735E7CD" w14:textId="544D4418" w:rsidR="001A518B" w:rsidRPr="00385677" w:rsidRDefault="001A518B" w:rsidP="004E541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404040" w:themeColor="text1" w:themeTint="BF"/>
              </w:rPr>
              <w:t>X</w:t>
            </w:r>
          </w:p>
        </w:tc>
      </w:tr>
    </w:tbl>
    <w:p w14:paraId="50E8E2A1" w14:textId="77777777" w:rsidR="00566B27" w:rsidRPr="00385677" w:rsidRDefault="00566B27" w:rsidP="00D42F33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EF38B4" w:rsidRPr="00385677" w14:paraId="7343B542" w14:textId="77777777" w:rsidTr="000C2F38">
        <w:tc>
          <w:tcPr>
            <w:tcW w:w="2405" w:type="dxa"/>
          </w:tcPr>
          <w:p w14:paraId="6D5A7BE6" w14:textId="77777777" w:rsidR="00EF38B4" w:rsidRPr="00385677" w:rsidRDefault="00EF38B4" w:rsidP="000C2F3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Razão Social</w:t>
            </w:r>
          </w:p>
        </w:tc>
        <w:tc>
          <w:tcPr>
            <w:tcW w:w="6089" w:type="dxa"/>
          </w:tcPr>
          <w:p w14:paraId="43501BB5" w14:textId="77777777" w:rsidR="00EF38B4" w:rsidRPr="00385677" w:rsidRDefault="00EF38B4" w:rsidP="000C2F38">
            <w:pPr>
              <w:rPr>
                <w:color w:val="404040" w:themeColor="text1" w:themeTint="BF"/>
              </w:rPr>
            </w:pPr>
            <w:r w:rsidRPr="00EF3573">
              <w:rPr>
                <w:color w:val="404040" w:themeColor="text1" w:themeTint="BF"/>
              </w:rPr>
              <w:t>XP Investimentos Corretora de Câmbio, Títulos e Valores Mobiliários S.A.</w:t>
            </w:r>
          </w:p>
        </w:tc>
      </w:tr>
      <w:tr w:rsidR="00EF38B4" w:rsidRPr="00385677" w14:paraId="2D961242" w14:textId="77777777" w:rsidTr="000C2F38">
        <w:tc>
          <w:tcPr>
            <w:tcW w:w="2405" w:type="dxa"/>
          </w:tcPr>
          <w:p w14:paraId="078DA243" w14:textId="77777777" w:rsidR="00EF38B4" w:rsidRPr="00385677" w:rsidRDefault="00EF38B4" w:rsidP="000C2F3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CNPJ</w:t>
            </w:r>
          </w:p>
        </w:tc>
        <w:tc>
          <w:tcPr>
            <w:tcW w:w="6089" w:type="dxa"/>
          </w:tcPr>
          <w:p w14:paraId="5F968C6D" w14:textId="77777777" w:rsidR="00EF38B4" w:rsidRPr="00385677" w:rsidRDefault="00EF38B4" w:rsidP="000C2F38">
            <w:pPr>
              <w:rPr>
                <w:color w:val="404040" w:themeColor="text1" w:themeTint="BF"/>
              </w:rPr>
            </w:pPr>
            <w:r w:rsidRPr="00317B97">
              <w:rPr>
                <w:color w:val="404040" w:themeColor="text1" w:themeTint="BF"/>
              </w:rPr>
              <w:t>02.332.886/0001-04</w:t>
            </w:r>
          </w:p>
        </w:tc>
      </w:tr>
      <w:tr w:rsidR="00EF38B4" w:rsidRPr="00385677" w14:paraId="4C7B773D" w14:textId="77777777" w:rsidTr="000C2F38">
        <w:tc>
          <w:tcPr>
            <w:tcW w:w="2405" w:type="dxa"/>
          </w:tcPr>
          <w:p w14:paraId="71472D97" w14:textId="77777777" w:rsidR="00EF38B4" w:rsidRPr="00385677" w:rsidRDefault="00EF38B4" w:rsidP="000C2F3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Data de Constituição</w:t>
            </w:r>
          </w:p>
        </w:tc>
        <w:tc>
          <w:tcPr>
            <w:tcW w:w="6089" w:type="dxa"/>
          </w:tcPr>
          <w:p w14:paraId="52ACDBDC" w14:textId="77777777" w:rsidR="00EF38B4" w:rsidRPr="00385677" w:rsidRDefault="00EF38B4" w:rsidP="000C2F38">
            <w:pPr>
              <w:rPr>
                <w:color w:val="404040" w:themeColor="text1" w:themeTint="BF"/>
              </w:rPr>
            </w:pPr>
            <w:r w:rsidRPr="00F8431C">
              <w:rPr>
                <w:color w:val="404040" w:themeColor="text1" w:themeTint="BF"/>
              </w:rPr>
              <w:t>05/12/1997</w:t>
            </w:r>
          </w:p>
        </w:tc>
      </w:tr>
      <w:tr w:rsidR="00EF38B4" w:rsidRPr="00385677" w14:paraId="7A55743C" w14:textId="77777777" w:rsidTr="000C2F38">
        <w:tc>
          <w:tcPr>
            <w:tcW w:w="2405" w:type="dxa"/>
          </w:tcPr>
          <w:p w14:paraId="379A43B7" w14:textId="77777777" w:rsidR="00EF38B4" w:rsidRPr="00385677" w:rsidRDefault="00EF38B4" w:rsidP="000C2F3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Endereço</w:t>
            </w:r>
          </w:p>
        </w:tc>
        <w:tc>
          <w:tcPr>
            <w:tcW w:w="6089" w:type="dxa"/>
          </w:tcPr>
          <w:p w14:paraId="3424942E" w14:textId="77777777" w:rsidR="00EF38B4" w:rsidRPr="00385677" w:rsidRDefault="00EF38B4" w:rsidP="000C2F38">
            <w:pPr>
              <w:rPr>
                <w:color w:val="404040" w:themeColor="text1" w:themeTint="BF"/>
              </w:rPr>
            </w:pPr>
            <w:r w:rsidRPr="00317B97">
              <w:rPr>
                <w:color w:val="404040" w:themeColor="text1" w:themeTint="BF"/>
              </w:rPr>
              <w:t>Av. Chedid Jafet, 75 – Torre Sul – 30º andar – São Paulo/SP – CEP 04551-065</w:t>
            </w:r>
          </w:p>
        </w:tc>
      </w:tr>
      <w:tr w:rsidR="00EF38B4" w:rsidRPr="00385677" w14:paraId="4820F97F" w14:textId="77777777" w:rsidTr="000C2F38">
        <w:tc>
          <w:tcPr>
            <w:tcW w:w="2405" w:type="dxa"/>
          </w:tcPr>
          <w:p w14:paraId="3B592599" w14:textId="77777777" w:rsidR="00EF38B4" w:rsidRPr="00385677" w:rsidRDefault="00EF38B4" w:rsidP="000C2F3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6089" w:type="dxa"/>
          </w:tcPr>
          <w:p w14:paraId="6604258A" w14:textId="77777777" w:rsidR="00EF38B4" w:rsidRPr="00385677" w:rsidRDefault="00EF38B4" w:rsidP="000C2F38">
            <w:pPr>
              <w:rPr>
                <w:color w:val="404040" w:themeColor="text1" w:themeTint="BF"/>
              </w:rPr>
            </w:pPr>
            <w:r w:rsidRPr="00317B97">
              <w:rPr>
                <w:color w:val="404040" w:themeColor="text1" w:themeTint="BF"/>
              </w:rPr>
              <w:t>institucional@xpi.com.br</w:t>
            </w:r>
          </w:p>
        </w:tc>
      </w:tr>
      <w:tr w:rsidR="00EF38B4" w:rsidRPr="00385677" w14:paraId="79A5D1E1" w14:textId="77777777" w:rsidTr="000C2F38">
        <w:tc>
          <w:tcPr>
            <w:tcW w:w="2405" w:type="dxa"/>
          </w:tcPr>
          <w:p w14:paraId="3410593A" w14:textId="77777777" w:rsidR="00EF38B4" w:rsidRPr="00385677" w:rsidRDefault="00EF38B4" w:rsidP="000C2F3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  <w:tc>
          <w:tcPr>
            <w:tcW w:w="6089" w:type="dxa"/>
          </w:tcPr>
          <w:p w14:paraId="723BC29C" w14:textId="77777777" w:rsidR="00EF38B4" w:rsidRPr="00385677" w:rsidRDefault="00EF38B4" w:rsidP="000C2F38">
            <w:pPr>
              <w:rPr>
                <w:color w:val="404040" w:themeColor="text1" w:themeTint="BF"/>
              </w:rPr>
            </w:pPr>
            <w:r w:rsidRPr="002F7DD4">
              <w:rPr>
                <w:color w:val="404040" w:themeColor="text1" w:themeTint="BF"/>
              </w:rPr>
              <w:t>(11) 3075-0423</w:t>
            </w:r>
          </w:p>
        </w:tc>
      </w:tr>
    </w:tbl>
    <w:p w14:paraId="6971A4A4" w14:textId="77777777" w:rsidR="00EF38B4" w:rsidRPr="00385677" w:rsidRDefault="00EF38B4" w:rsidP="00EF38B4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36"/>
        <w:gridCol w:w="1639"/>
        <w:gridCol w:w="2608"/>
        <w:gridCol w:w="1811"/>
      </w:tblGrid>
      <w:tr w:rsidR="00EF38B4" w:rsidRPr="00385677" w14:paraId="22886FDD" w14:textId="77777777" w:rsidTr="000C2F38">
        <w:tc>
          <w:tcPr>
            <w:tcW w:w="2830" w:type="dxa"/>
          </w:tcPr>
          <w:p w14:paraId="47C603D1" w14:textId="77777777" w:rsidR="00EF38B4" w:rsidRPr="00385677" w:rsidRDefault="00EF38B4" w:rsidP="000C2F3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Responsável</w:t>
            </w:r>
          </w:p>
        </w:tc>
        <w:tc>
          <w:tcPr>
            <w:tcW w:w="1843" w:type="dxa"/>
          </w:tcPr>
          <w:p w14:paraId="128D3368" w14:textId="77777777" w:rsidR="00EF38B4" w:rsidRPr="00385677" w:rsidRDefault="00EF38B4" w:rsidP="000C2F3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Cargo</w:t>
            </w:r>
          </w:p>
        </w:tc>
        <w:tc>
          <w:tcPr>
            <w:tcW w:w="1697" w:type="dxa"/>
          </w:tcPr>
          <w:p w14:paraId="4DF9E563" w14:textId="77777777" w:rsidR="00EF38B4" w:rsidRPr="00385677" w:rsidRDefault="00EF38B4" w:rsidP="000C2F3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2124" w:type="dxa"/>
          </w:tcPr>
          <w:p w14:paraId="06E1E12F" w14:textId="77777777" w:rsidR="00EF38B4" w:rsidRPr="00385677" w:rsidRDefault="00EF38B4" w:rsidP="000C2F3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</w:tr>
      <w:tr w:rsidR="00EF38B4" w:rsidRPr="00385677" w14:paraId="38F71D23" w14:textId="77777777" w:rsidTr="000C2F38">
        <w:tc>
          <w:tcPr>
            <w:tcW w:w="2830" w:type="dxa"/>
          </w:tcPr>
          <w:p w14:paraId="67383611" w14:textId="77777777" w:rsidR="00EF38B4" w:rsidRPr="00317B97" w:rsidRDefault="00EF38B4" w:rsidP="000C2F38">
            <w:pPr>
              <w:rPr>
                <w:color w:val="404040" w:themeColor="text1" w:themeTint="BF"/>
              </w:rPr>
            </w:pPr>
            <w:r w:rsidRPr="00CA41A8">
              <w:rPr>
                <w:color w:val="404040" w:themeColor="text1" w:themeTint="BF"/>
              </w:rPr>
              <w:t xml:space="preserve">Bruno Fernandes </w:t>
            </w:r>
            <w:proofErr w:type="spellStart"/>
            <w:r w:rsidRPr="00CA41A8">
              <w:rPr>
                <w:color w:val="404040" w:themeColor="text1" w:themeTint="BF"/>
              </w:rPr>
              <w:t>Onias</w:t>
            </w:r>
            <w:proofErr w:type="spellEnd"/>
          </w:p>
        </w:tc>
        <w:tc>
          <w:tcPr>
            <w:tcW w:w="1843" w:type="dxa"/>
          </w:tcPr>
          <w:p w14:paraId="727F20A2" w14:textId="77777777" w:rsidR="00EF38B4" w:rsidRPr="00317B97" w:rsidRDefault="00EF38B4" w:rsidP="000C2F38">
            <w:pPr>
              <w:rPr>
                <w:color w:val="404040" w:themeColor="text1" w:themeTint="BF"/>
              </w:rPr>
            </w:pPr>
            <w:r w:rsidRPr="00F8431C">
              <w:rPr>
                <w:color w:val="404040" w:themeColor="text1" w:themeTint="BF"/>
              </w:rPr>
              <w:t>Advogado</w:t>
            </w:r>
          </w:p>
        </w:tc>
        <w:tc>
          <w:tcPr>
            <w:tcW w:w="1697" w:type="dxa"/>
          </w:tcPr>
          <w:p w14:paraId="1213EDBA" w14:textId="77777777" w:rsidR="00EF38B4" w:rsidRPr="00317B97" w:rsidRDefault="00EF38B4" w:rsidP="000C2F38">
            <w:pPr>
              <w:rPr>
                <w:color w:val="404040" w:themeColor="text1" w:themeTint="BF"/>
              </w:rPr>
            </w:pPr>
            <w:r w:rsidRPr="00317B97">
              <w:rPr>
                <w:color w:val="404040" w:themeColor="text1" w:themeTint="BF"/>
              </w:rPr>
              <w:t>institucional@xpi.com.br</w:t>
            </w:r>
          </w:p>
        </w:tc>
        <w:tc>
          <w:tcPr>
            <w:tcW w:w="2124" w:type="dxa"/>
          </w:tcPr>
          <w:p w14:paraId="2193AA40" w14:textId="77777777" w:rsidR="00EF38B4" w:rsidRPr="00317B97" w:rsidRDefault="00EF38B4" w:rsidP="000C2F38">
            <w:pPr>
              <w:rPr>
                <w:color w:val="404040" w:themeColor="text1" w:themeTint="BF"/>
              </w:rPr>
            </w:pPr>
            <w:r w:rsidRPr="002F7DD4">
              <w:rPr>
                <w:color w:val="404040" w:themeColor="text1" w:themeTint="BF"/>
              </w:rPr>
              <w:t>(11) 3075-0423</w:t>
            </w:r>
          </w:p>
        </w:tc>
      </w:tr>
      <w:tr w:rsidR="00EF38B4" w:rsidRPr="00385677" w14:paraId="575571A8" w14:textId="77777777" w:rsidTr="000C2F38">
        <w:tc>
          <w:tcPr>
            <w:tcW w:w="2830" w:type="dxa"/>
          </w:tcPr>
          <w:p w14:paraId="7B2590EB" w14:textId="77777777" w:rsidR="00EF38B4" w:rsidRPr="00317B97" w:rsidRDefault="00EF38B4" w:rsidP="000C2F38">
            <w:pPr>
              <w:rPr>
                <w:color w:val="404040" w:themeColor="text1" w:themeTint="BF"/>
              </w:rPr>
            </w:pPr>
          </w:p>
        </w:tc>
        <w:tc>
          <w:tcPr>
            <w:tcW w:w="1843" w:type="dxa"/>
          </w:tcPr>
          <w:p w14:paraId="6B3572F7" w14:textId="77777777" w:rsidR="00EF38B4" w:rsidRPr="00317B97" w:rsidRDefault="00EF38B4" w:rsidP="000C2F38">
            <w:pPr>
              <w:rPr>
                <w:color w:val="404040" w:themeColor="text1" w:themeTint="BF"/>
              </w:rPr>
            </w:pPr>
          </w:p>
        </w:tc>
        <w:tc>
          <w:tcPr>
            <w:tcW w:w="1697" w:type="dxa"/>
          </w:tcPr>
          <w:p w14:paraId="7C8867A3" w14:textId="77777777" w:rsidR="00EF38B4" w:rsidRPr="00317B97" w:rsidRDefault="00EF38B4" w:rsidP="000C2F38">
            <w:pPr>
              <w:rPr>
                <w:color w:val="404040" w:themeColor="text1" w:themeTint="BF"/>
              </w:rPr>
            </w:pPr>
          </w:p>
        </w:tc>
        <w:tc>
          <w:tcPr>
            <w:tcW w:w="2124" w:type="dxa"/>
          </w:tcPr>
          <w:p w14:paraId="17FCC670" w14:textId="77777777" w:rsidR="00EF38B4" w:rsidRPr="00317B97" w:rsidRDefault="00EF38B4" w:rsidP="000C2F38">
            <w:pPr>
              <w:rPr>
                <w:color w:val="404040" w:themeColor="text1" w:themeTint="BF"/>
              </w:rPr>
            </w:pPr>
          </w:p>
        </w:tc>
      </w:tr>
    </w:tbl>
    <w:p w14:paraId="3E75188B" w14:textId="60CD5E24" w:rsidR="00765243" w:rsidRPr="00385677" w:rsidRDefault="00765243" w:rsidP="00D42F33">
      <w:pPr>
        <w:rPr>
          <w:b/>
          <w:bCs/>
          <w:color w:val="3B3B98"/>
        </w:rPr>
      </w:pP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7366"/>
        <w:gridCol w:w="1134"/>
      </w:tblGrid>
      <w:tr w:rsidR="00385677" w:rsidRPr="00385677" w14:paraId="69AE4CD1" w14:textId="77777777" w:rsidTr="003A48B1">
        <w:trPr>
          <w:trHeight w:val="692"/>
        </w:trPr>
        <w:tc>
          <w:tcPr>
            <w:tcW w:w="7366" w:type="dxa"/>
            <w:vAlign w:val="center"/>
            <w:hideMark/>
          </w:tcPr>
          <w:p w14:paraId="58ADE9EF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está livre de registros de suspensão ou de inabilitação na CVM ou outro órgão competente?</w:t>
            </w:r>
          </w:p>
        </w:tc>
        <w:tc>
          <w:tcPr>
            <w:tcW w:w="1134" w:type="dxa"/>
            <w:vAlign w:val="center"/>
            <w:hideMark/>
          </w:tcPr>
          <w:p w14:paraId="22F451C3" w14:textId="503D0D8C" w:rsidR="003A48B1" w:rsidRPr="00385677" w:rsidRDefault="00EF38B4" w:rsidP="00F11446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70411E3" w14:textId="77777777" w:rsidTr="003A48B1">
        <w:trPr>
          <w:trHeight w:val="1268"/>
        </w:trPr>
        <w:tc>
          <w:tcPr>
            <w:tcW w:w="7366" w:type="dxa"/>
            <w:vAlign w:val="center"/>
            <w:hideMark/>
          </w:tcPr>
          <w:p w14:paraId="5EC5DEC4" w14:textId="6FF086B5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detém elevado padrão ético de conduta nas operações realizadas no mercado financeiro</w:t>
            </w:r>
            <w:r w:rsidR="000814B5">
              <w:rPr>
                <w:b/>
                <w:bCs/>
                <w:color w:val="3B3B98"/>
              </w:rPr>
              <w:t>?</w:t>
            </w:r>
            <w:r w:rsidRPr="00385677">
              <w:rPr>
                <w:b/>
                <w:bCs/>
                <w:color w:val="3B3B98"/>
              </w:rPr>
              <w:t xml:space="preserve"> </w:t>
            </w:r>
          </w:p>
        </w:tc>
        <w:tc>
          <w:tcPr>
            <w:tcW w:w="1134" w:type="dxa"/>
            <w:vAlign w:val="center"/>
            <w:hideMark/>
          </w:tcPr>
          <w:p w14:paraId="67FFF42B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0814B5" w:rsidRPr="00385677" w14:paraId="0D4E583D" w14:textId="77777777" w:rsidTr="003A48B1">
        <w:trPr>
          <w:trHeight w:val="1268"/>
        </w:trPr>
        <w:tc>
          <w:tcPr>
            <w:tcW w:w="7366" w:type="dxa"/>
            <w:vAlign w:val="center"/>
          </w:tcPr>
          <w:p w14:paraId="59997D65" w14:textId="40F7C7AA" w:rsidR="000814B5" w:rsidRPr="00385677" w:rsidRDefault="000814B5" w:rsidP="003A48B1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A instituição</w:t>
            </w:r>
            <w:r w:rsidRPr="00385677">
              <w:rPr>
                <w:b/>
                <w:bCs/>
                <w:color w:val="3B3B98"/>
              </w:rPr>
              <w:t xml:space="preserve"> possui restrições que, a critério da CVM, do Banco Central do Brasil ou de outros órgãos competentes, desaconselhem um relacionamento seguro?</w:t>
            </w:r>
          </w:p>
        </w:tc>
        <w:tc>
          <w:tcPr>
            <w:tcW w:w="1134" w:type="dxa"/>
            <w:vAlign w:val="center"/>
          </w:tcPr>
          <w:p w14:paraId="706C7EEE" w14:textId="247E77E6" w:rsidR="000814B5" w:rsidRPr="00385677" w:rsidRDefault="000814B5" w:rsidP="00F11446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Não</w:t>
            </w:r>
          </w:p>
        </w:tc>
      </w:tr>
      <w:tr w:rsidR="00385677" w:rsidRPr="00385677" w14:paraId="558EC38A" w14:textId="77777777" w:rsidTr="003A48B1">
        <w:trPr>
          <w:trHeight w:val="833"/>
        </w:trPr>
        <w:tc>
          <w:tcPr>
            <w:tcW w:w="7366" w:type="dxa"/>
            <w:vAlign w:val="center"/>
            <w:hideMark/>
          </w:tcPr>
          <w:p w14:paraId="322EF98C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Os profissionais diretamente relacionados à gestão de ativos de terceiros da instituição possuem experiência mínima de 5 (cinco) anos na atividade?</w:t>
            </w:r>
          </w:p>
        </w:tc>
        <w:tc>
          <w:tcPr>
            <w:tcW w:w="1134" w:type="dxa"/>
            <w:vAlign w:val="center"/>
            <w:hideMark/>
          </w:tcPr>
          <w:p w14:paraId="4F283FA8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CD6E2E6" w14:textId="77777777" w:rsidTr="003A48B1">
        <w:trPr>
          <w:trHeight w:val="703"/>
        </w:trPr>
        <w:tc>
          <w:tcPr>
            <w:tcW w:w="7366" w:type="dxa"/>
            <w:vAlign w:val="center"/>
            <w:hideMark/>
          </w:tcPr>
          <w:p w14:paraId="60F05DFF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e seus principais controladores possuem adequado histórico de atuação no mercado financeiro?</w:t>
            </w:r>
          </w:p>
        </w:tc>
        <w:tc>
          <w:tcPr>
            <w:tcW w:w="1134" w:type="dxa"/>
            <w:vAlign w:val="center"/>
            <w:hideMark/>
          </w:tcPr>
          <w:p w14:paraId="0052E9D0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F6F0AC7" w14:textId="77777777" w:rsidTr="003A48B1">
        <w:trPr>
          <w:trHeight w:val="58"/>
        </w:trPr>
        <w:tc>
          <w:tcPr>
            <w:tcW w:w="7366" w:type="dxa"/>
            <w:vAlign w:val="center"/>
            <w:hideMark/>
          </w:tcPr>
          <w:p w14:paraId="1ACB6660" w14:textId="6EDDD6A7" w:rsidR="003A48B1" w:rsidRPr="00385677" w:rsidRDefault="00495179" w:rsidP="003A48B1">
            <w:pPr>
              <w:rPr>
                <w:b/>
                <w:bCs/>
                <w:color w:val="3B3B98"/>
              </w:rPr>
            </w:pPr>
            <w:r w:rsidRPr="00495179">
              <w:rPr>
                <w:b/>
                <w:bCs/>
                <w:color w:val="3B3B98"/>
              </w:rPr>
              <w:lastRenderedPageBreak/>
              <w:t>A instituição está alinhada aos objetivos do RPPS quanto à independência na prestação dos serviços e ausência de potenciais conflitos de interesse nos termos do art. 24 da Resolução CMN nº 4.963/2021?</w:t>
            </w:r>
          </w:p>
        </w:tc>
        <w:tc>
          <w:tcPr>
            <w:tcW w:w="1134" w:type="dxa"/>
            <w:vAlign w:val="center"/>
            <w:hideMark/>
          </w:tcPr>
          <w:p w14:paraId="08233C08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</w:tbl>
    <w:p w14:paraId="70B1EA0E" w14:textId="77777777" w:rsidR="003A48B1" w:rsidRDefault="003A48B1" w:rsidP="003A48B1">
      <w:pPr>
        <w:rPr>
          <w:b/>
          <w:bCs/>
        </w:rPr>
      </w:pPr>
    </w:p>
    <w:p w14:paraId="0503AFD8" w14:textId="77777777" w:rsidR="00882B8B" w:rsidRDefault="00882B8B" w:rsidP="0085754A">
      <w:pPr>
        <w:rPr>
          <w:b/>
          <w:bCs/>
          <w:color w:val="3B3B98"/>
          <w:sz w:val="28"/>
          <w:szCs w:val="28"/>
        </w:rPr>
      </w:pPr>
    </w:p>
    <w:p w14:paraId="7DA30124" w14:textId="77777777" w:rsidR="00C47F93" w:rsidRDefault="00C47F93" w:rsidP="0085754A">
      <w:pPr>
        <w:rPr>
          <w:b/>
          <w:bCs/>
          <w:color w:val="3B3B98"/>
          <w:sz w:val="28"/>
          <w:szCs w:val="28"/>
        </w:rPr>
      </w:pPr>
    </w:p>
    <w:p w14:paraId="786D06F8" w14:textId="00467CB2" w:rsidR="00FD3E35" w:rsidRPr="00385677" w:rsidRDefault="00C47F93" w:rsidP="0085754A">
      <w:pPr>
        <w:rPr>
          <w:b/>
          <w:bCs/>
          <w:color w:val="3B3B98"/>
          <w:sz w:val="28"/>
          <w:szCs w:val="28"/>
        </w:rPr>
      </w:pPr>
      <w:r>
        <w:rPr>
          <w:b/>
          <w:bCs/>
          <w:color w:val="3B3B98"/>
          <w:sz w:val="28"/>
          <w:szCs w:val="28"/>
        </w:rPr>
        <w:t>VI</w:t>
      </w:r>
      <w:r w:rsidR="00237256" w:rsidRPr="00385677">
        <w:rPr>
          <w:b/>
          <w:bCs/>
          <w:color w:val="3B3B98"/>
          <w:sz w:val="28"/>
          <w:szCs w:val="28"/>
        </w:rPr>
        <w:t xml:space="preserve"> – ANÁLISE DA INSTITUIÇÃO A SER CREDENCIADA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66A9B057" w14:textId="77777777" w:rsidTr="0082059B">
        <w:tc>
          <w:tcPr>
            <w:tcW w:w="8499" w:type="dxa"/>
            <w:shd w:val="clear" w:color="auto" w:fill="3B3B98"/>
          </w:tcPr>
          <w:p w14:paraId="0D78999C" w14:textId="26AC1217" w:rsidR="006E6BAD" w:rsidRPr="00B50007" w:rsidRDefault="00EF0037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ATOS DE REGISTRO OU AUTORIZAÇÃO PARA FUNCIONAMENTO EXPEDIDO POR ÓRGÃO COMPETENTE.</w:t>
            </w:r>
          </w:p>
        </w:tc>
      </w:tr>
    </w:tbl>
    <w:p w14:paraId="675B1A11" w14:textId="77777777" w:rsidR="000A698F" w:rsidRDefault="000A698F" w:rsidP="000A698F">
      <w:pPr>
        <w:rPr>
          <w:color w:val="404040" w:themeColor="text1" w:themeTint="BF"/>
        </w:rPr>
      </w:pPr>
      <w:r w:rsidRPr="001A4CA9">
        <w:rPr>
          <w:color w:val="404040" w:themeColor="text1" w:themeTint="BF"/>
        </w:rPr>
        <w:t>A XP Investimentos é autorizada pelo Banco Central do Brasil para atuar como corretora de câmbio, títulos e valores mobiliários, e está devidamente registrada na Comissão de Valores Mobiliários (CVM) para intermediação e distribuição de produtos de investimento.</w:t>
      </w:r>
    </w:p>
    <w:p w14:paraId="2D03F982" w14:textId="77777777" w:rsidR="000A698F" w:rsidRPr="00FD11EF" w:rsidRDefault="000A698F" w:rsidP="000A698F">
      <w:pPr>
        <w:rPr>
          <w:color w:val="404040" w:themeColor="text1" w:themeTint="BF"/>
        </w:rPr>
      </w:pPr>
      <w:r w:rsidRPr="001B7C38">
        <w:rPr>
          <w:color w:val="404040" w:themeColor="text1" w:themeTint="BF"/>
        </w:rPr>
        <w:t>ATO DECLARATÓRIO Nº 10.460,</w:t>
      </w:r>
      <w:r>
        <w:rPr>
          <w:color w:val="404040" w:themeColor="text1" w:themeTint="BF"/>
        </w:rPr>
        <w:t xml:space="preserve"> </w:t>
      </w:r>
      <w:r w:rsidRPr="001B7C38">
        <w:rPr>
          <w:color w:val="404040" w:themeColor="text1" w:themeTint="BF"/>
        </w:rPr>
        <w:t>DE 26 DE JUNHO DE 2009</w:t>
      </w:r>
    </w:p>
    <w:p w14:paraId="355903BA" w14:textId="77777777" w:rsidR="00374AF8" w:rsidRPr="00B50007" w:rsidRDefault="00374AF8" w:rsidP="00374AF8"/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5262C5B" w14:textId="77777777" w:rsidTr="0082059B">
        <w:tc>
          <w:tcPr>
            <w:tcW w:w="8499" w:type="dxa"/>
            <w:shd w:val="clear" w:color="auto" w:fill="3B3B98"/>
          </w:tcPr>
          <w:p w14:paraId="09EE46FE" w14:textId="6DE4458E" w:rsidR="006E6BAD" w:rsidRPr="00B50007" w:rsidRDefault="00EF0037" w:rsidP="00EF0037">
            <w:pPr>
              <w:spacing w:line="279" w:lineRule="auto"/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OBSERVÂNCIA DE ELEVADO PADRÃO ÉTICO DE CONDUTA NAS OPERAÇÕES REALIZADAS NO MERCADO FINANCEIRO E AUSÊNCIA DE RESTRIÇÕES VERIFICADAS POR ÓRGÃOS COMPETENTES.</w:t>
            </w:r>
          </w:p>
        </w:tc>
      </w:tr>
      <w:tr w:rsidR="00385677" w:rsidRPr="00385677" w14:paraId="6447AD62" w14:textId="77777777" w:rsidTr="00074CF2">
        <w:tc>
          <w:tcPr>
            <w:tcW w:w="8499" w:type="dxa"/>
          </w:tcPr>
          <w:p w14:paraId="316AABA5" w14:textId="77777777" w:rsidR="003804EF" w:rsidRPr="00385677" w:rsidRDefault="003804EF" w:rsidP="009A2B06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 xml:space="preserve">SOBRE ELEVADO PADRÃO ÉTICO: </w:t>
            </w:r>
          </w:p>
        </w:tc>
      </w:tr>
    </w:tbl>
    <w:p w14:paraId="5A61BD55" w14:textId="77777777" w:rsidR="004E7CA0" w:rsidRPr="00CE3E73" w:rsidRDefault="004E7CA0" w:rsidP="004E7CA0">
      <w:pPr>
        <w:jc w:val="both"/>
        <w:rPr>
          <w:color w:val="404040" w:themeColor="text1" w:themeTint="BF"/>
        </w:rPr>
      </w:pPr>
      <w:r w:rsidRPr="00CE3E73">
        <w:rPr>
          <w:color w:val="404040" w:themeColor="text1" w:themeTint="BF"/>
        </w:rPr>
        <w:t>A XP adota um Código de Ética e Conduta abrangente, que estabelece princípios de integridade, transparência, prevenção de conflitos de interesse e atuação responsável no mercado. O cumprimento dessas normas é obrigatório para todos os colaboradores e prestadores de serviço da instituição.</w:t>
      </w:r>
    </w:p>
    <w:p w14:paraId="72A94A21" w14:textId="77777777" w:rsidR="004E7CA0" w:rsidRPr="00CE3E73" w:rsidRDefault="004E7CA0" w:rsidP="004E7CA0">
      <w:pPr>
        <w:jc w:val="both"/>
        <w:rPr>
          <w:color w:val="404040" w:themeColor="text1" w:themeTint="BF"/>
        </w:rPr>
      </w:pPr>
      <w:r w:rsidRPr="00CE3E73">
        <w:rPr>
          <w:color w:val="404040" w:themeColor="text1" w:themeTint="BF"/>
        </w:rPr>
        <w:t>Possui uma estrutura de compliance independente, responsável por monitorar continuamente as operações e assegurar o cumprimento das obrigações regulatórias, bem como práticas de prevenção à lavagem de dinheiro e combate à corrupção.</w:t>
      </w:r>
    </w:p>
    <w:p w14:paraId="638DD58A" w14:textId="77777777" w:rsidR="004E7CA0" w:rsidRDefault="004E7CA0" w:rsidP="004E7CA0">
      <w:pPr>
        <w:jc w:val="both"/>
        <w:rPr>
          <w:color w:val="404040" w:themeColor="text1" w:themeTint="BF"/>
        </w:rPr>
      </w:pPr>
      <w:r w:rsidRPr="00CE3E73">
        <w:rPr>
          <w:color w:val="404040" w:themeColor="text1" w:themeTint="BF"/>
        </w:rPr>
        <w:t>A instituição mantém também canal de denúncias independente e confidencial, que reforça a cultura de ética, possibilitando que qualquer irregularidade seja reportada e tratada de forma adequada, garantindo responsabilidade e governança corporativa.</w:t>
      </w:r>
    </w:p>
    <w:p w14:paraId="5345EB38" w14:textId="77777777" w:rsidR="004E7CA0" w:rsidRPr="005E33D4" w:rsidRDefault="004E7CA0" w:rsidP="004E7CA0">
      <w:pPr>
        <w:jc w:val="both"/>
        <w:rPr>
          <w:color w:val="404040" w:themeColor="text1" w:themeTint="BF"/>
        </w:rPr>
      </w:pPr>
      <w:r w:rsidRPr="005E33D4">
        <w:rPr>
          <w:color w:val="404040" w:themeColor="text1" w:themeTint="BF"/>
        </w:rPr>
        <w:t>A análise evidencia que o Grupo XP Inc. adota rígidos mecanismos de controle e governança para mitigar riscos relacionados ao uso e acesso a informações privilegiadas. A instituição aplica o conceito de Chinese Wall, separando o “lado público” – formado por áreas de vendas, negociação, pesquisa e recomendações – do “lado privado”, que reúne setores com acesso rotineiro a informações sensíveis, como relacionamento com clientes e investimentos. O Compliance atua como guardião da barreira, com acesso a ambos os lados, supervisionando atividades e controlando negociações proprietárias, de clientes e colaboradores, em consonância com a Política de Investimentos de Pessoas Vinculadas. Também possuem acesso além da barreira a alta administração, controladoria, auditoria interna, controles internos e jurídico.</w:t>
      </w:r>
    </w:p>
    <w:p w14:paraId="3C5DA640" w14:textId="77777777" w:rsidR="004E7CA0" w:rsidRPr="005E33D4" w:rsidRDefault="004E7CA0" w:rsidP="004E7CA0">
      <w:pPr>
        <w:jc w:val="both"/>
        <w:rPr>
          <w:color w:val="404040" w:themeColor="text1" w:themeTint="BF"/>
        </w:rPr>
      </w:pPr>
      <w:r w:rsidRPr="005E33D4">
        <w:rPr>
          <w:color w:val="404040" w:themeColor="text1" w:themeTint="BF"/>
        </w:rPr>
        <w:t xml:space="preserve">Além disso, destaca-se o uso do sistema SMARTS BROKER (NASDAQ), empregado pelo Compliance da XP Investimentos para monitorar indícios de front running, manipulação de </w:t>
      </w:r>
      <w:r w:rsidRPr="005E33D4">
        <w:rPr>
          <w:color w:val="404040" w:themeColor="text1" w:themeTint="BF"/>
        </w:rPr>
        <w:lastRenderedPageBreak/>
        <w:t>preços, operações fraudulentas e outras práticas vedadas pela Resolução CVM nº 62/22. O controle é reforçado por medidas como a assinatura obrigatória de termos de confidencialidade por todos os colaboradores, bloqueio de e-mails pessoais e redes sociais na rede corporativa, restrição do uso de dispositivos pessoais nas mesas de operação e monitoramento contínuo de canais de comunicação. Descumprimentos são analisados pelo Compliance, que pode acionar o Comitê de Ética para aplicação das sanções cabíveis.</w:t>
      </w:r>
    </w:p>
    <w:p w14:paraId="6FBFB618" w14:textId="77777777" w:rsidR="004E7CA0" w:rsidRPr="005E33D4" w:rsidRDefault="004E7CA0" w:rsidP="004E7CA0">
      <w:pPr>
        <w:jc w:val="both"/>
        <w:rPr>
          <w:color w:val="404040" w:themeColor="text1" w:themeTint="BF"/>
        </w:rPr>
      </w:pPr>
      <w:r w:rsidRPr="005E33D4">
        <w:rPr>
          <w:color w:val="404040" w:themeColor="text1" w:themeTint="BF"/>
        </w:rPr>
        <w:t>No que tange à integridade corporativa, a XP veda a aceitação de presentes ou gratificações superiores a R$ 500,00, exigindo aprovação do Compliance para valores acima desse limite, em alinhamento com a política interna. A companhia também mantém o Canal Confidencial de Denúncias, gerido de forma independente pela ICTS Outsourcing, assegurando anonimato, sigilo e tratamento imparcial das manifestações recebidas. Denúncias são classificadas, direcionadas ao Compliance e reportadas periodicamente ao Comitê de Auditoria, sendo que os casos mais graves podem ser encaminhados ao Comitê de Auditoria e/ou Comitê de Ética, garantindo equidade, transparência e tempestividade nas apurações.</w:t>
      </w:r>
    </w:p>
    <w:p w14:paraId="4D182931" w14:textId="77777777" w:rsidR="003804EF" w:rsidRPr="00385677" w:rsidRDefault="003804EF" w:rsidP="00EF0037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6FBCBADD" w14:textId="77777777" w:rsidTr="003804EF">
        <w:tc>
          <w:tcPr>
            <w:tcW w:w="8494" w:type="dxa"/>
          </w:tcPr>
          <w:p w14:paraId="1669B11F" w14:textId="77777777" w:rsidR="003804EF" w:rsidRPr="00385677" w:rsidRDefault="003804EF" w:rsidP="0023252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AUSÊNCIA DE RESTRIÇÕES:</w:t>
            </w:r>
          </w:p>
        </w:tc>
      </w:tr>
    </w:tbl>
    <w:p w14:paraId="59AFEBE2" w14:textId="77777777" w:rsidR="00037500" w:rsidRDefault="00037500" w:rsidP="00037500">
      <w:pPr>
        <w:jc w:val="both"/>
        <w:rPr>
          <w:color w:val="404040" w:themeColor="text1" w:themeTint="BF"/>
        </w:rPr>
      </w:pPr>
      <w:r w:rsidRPr="00C7164C">
        <w:rPr>
          <w:color w:val="404040" w:themeColor="text1" w:themeTint="BF"/>
        </w:rPr>
        <w:t>Não há registros de restrições regulatórias, administrativas ou legais contra a XP Investimentos que impeçam seu credenciamento. A instituição cumpre integralmente as normas da CVM, Banco Central e ANBIMA.</w:t>
      </w:r>
    </w:p>
    <w:p w14:paraId="672955CC" w14:textId="77777777" w:rsidR="003804EF" w:rsidRPr="00B50007" w:rsidRDefault="003804EF" w:rsidP="00EF0037"/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D0B4D9A" w14:textId="77777777" w:rsidTr="0082059B">
        <w:tc>
          <w:tcPr>
            <w:tcW w:w="8499" w:type="dxa"/>
            <w:shd w:val="clear" w:color="auto" w:fill="3B3B98"/>
          </w:tcPr>
          <w:p w14:paraId="6F153E7E" w14:textId="4954942A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ANÁLISE DO HISTÓRICO DE ATUAÇÃO DA INSTITUIÇÃO E DE SEUS CONTROLADORES.</w:t>
            </w:r>
          </w:p>
        </w:tc>
      </w:tr>
    </w:tbl>
    <w:p w14:paraId="117DB421" w14:textId="77777777" w:rsidR="00256A36" w:rsidRPr="00302100" w:rsidRDefault="00256A36" w:rsidP="00256A36">
      <w:pPr>
        <w:jc w:val="both"/>
        <w:rPr>
          <w:color w:val="404040" w:themeColor="text1" w:themeTint="BF"/>
        </w:rPr>
      </w:pPr>
      <w:r w:rsidRPr="00302100">
        <w:rPr>
          <w:color w:val="404040" w:themeColor="text1" w:themeTint="BF"/>
        </w:rPr>
        <w:t>Fundada em 2001, a XP Investimentos tornou-se uma das maiores corretoras de valores do Brasil, pioneira na democratização do acesso a investimentos por meio de plataformas digitais. Sua trajetória é marcada pelo crescimento acelerado, inovação tecnológica e expansão da base de clientes.</w:t>
      </w:r>
    </w:p>
    <w:p w14:paraId="1E7420FE" w14:textId="77777777" w:rsidR="00256A36" w:rsidRPr="00302100" w:rsidRDefault="00256A36" w:rsidP="00256A36">
      <w:pPr>
        <w:jc w:val="both"/>
        <w:rPr>
          <w:color w:val="404040" w:themeColor="text1" w:themeTint="BF"/>
        </w:rPr>
      </w:pPr>
      <w:r w:rsidRPr="00302100">
        <w:rPr>
          <w:color w:val="404040" w:themeColor="text1" w:themeTint="BF"/>
        </w:rPr>
        <w:t>A XP Inc., controladora indireta, está listada na Nasdaq (EUA), reforçando sua governança internacional e transparência junto ao mercado global. Essa posição de destaque confere credibilidade adicional à operação no Brasil.</w:t>
      </w:r>
    </w:p>
    <w:p w14:paraId="6822834B" w14:textId="77777777" w:rsidR="00256A36" w:rsidRPr="002E7192" w:rsidRDefault="00256A36" w:rsidP="00256A36">
      <w:pPr>
        <w:jc w:val="both"/>
        <w:rPr>
          <w:color w:val="404040" w:themeColor="text1" w:themeTint="BF"/>
        </w:rPr>
      </w:pPr>
      <w:r w:rsidRPr="002E7192">
        <w:rPr>
          <w:color w:val="404040" w:themeColor="text1" w:themeTint="BF"/>
        </w:rPr>
        <w:t>A análise demonstra que, ao longo de duas décadas, a XP Investimentos consolidou-se como referência no mercado financeiro brasileiro, com trajetória marcada por crescimento e diversificação de serviços. Fundada em 2001 por Guilherme Benchimol e Marcelo Maisonnave, inicialmente como uma sociedade de agentes autônomos voltada a pequenos investidores, a instituição expandiu de forma significativa sua atuação. Atualmente, figura como a maior corretora independente do país, com mais de R$ 925 bilhões sob custódia. Sua atuação abrange a intermediação de operações de títulos e valores mobiliários, a estruturação e gestão de fundos de investimento, a oferta de produtos estruturados, de renda fixa, securitários e previdenciários, além da disponibilização de conteúdos e cursos voltados à educação financeira, consolidando um modelo de negócios diversificado e orientado ao atendimento de diferentes perfis de investidores.</w:t>
      </w:r>
    </w:p>
    <w:p w14:paraId="5367AF51" w14:textId="77777777" w:rsidR="00B50007" w:rsidRPr="00B50007" w:rsidRDefault="00B50007" w:rsidP="00CE1A54"/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0432377" w14:textId="77777777" w:rsidTr="0082059B">
        <w:tc>
          <w:tcPr>
            <w:tcW w:w="8499" w:type="dxa"/>
            <w:shd w:val="clear" w:color="auto" w:fill="3B3B98"/>
          </w:tcPr>
          <w:p w14:paraId="60F48946" w14:textId="775618D9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lastRenderedPageBreak/>
              <w:t xml:space="preserve">VERIFICAÇÃO DE EXPERIÊNCIA MÍNIMA DE </w:t>
            </w:r>
            <w:r w:rsidR="005A2F02">
              <w:rPr>
                <w:b/>
                <w:bCs/>
                <w:color w:val="FFFFFF" w:themeColor="background1"/>
              </w:rPr>
              <w:t>5</w:t>
            </w:r>
            <w:r w:rsidRPr="0082059B">
              <w:rPr>
                <w:b/>
                <w:bCs/>
                <w:color w:val="FFFFFF" w:themeColor="background1"/>
              </w:rPr>
              <w:t xml:space="preserve"> (</w:t>
            </w:r>
            <w:r w:rsidR="005A2F02">
              <w:rPr>
                <w:b/>
                <w:bCs/>
                <w:color w:val="FFFFFF" w:themeColor="background1"/>
              </w:rPr>
              <w:t>CINCO</w:t>
            </w:r>
            <w:r w:rsidRPr="0082059B">
              <w:rPr>
                <w:b/>
                <w:bCs/>
                <w:color w:val="FFFFFF" w:themeColor="background1"/>
              </w:rPr>
              <w:t>) ANOS DE ATUAÇÃO.</w:t>
            </w:r>
          </w:p>
        </w:tc>
      </w:tr>
    </w:tbl>
    <w:p w14:paraId="56D9CD41" w14:textId="77777777" w:rsidR="00305C60" w:rsidRPr="00302100" w:rsidRDefault="00305C60" w:rsidP="00305C60">
      <w:pPr>
        <w:jc w:val="both"/>
        <w:rPr>
          <w:color w:val="404040" w:themeColor="text1" w:themeTint="BF"/>
        </w:rPr>
      </w:pPr>
      <w:r w:rsidRPr="00302100">
        <w:rPr>
          <w:color w:val="404040" w:themeColor="text1" w:themeTint="BF"/>
        </w:rPr>
        <w:t>A XP Investimentos possui mais de 20 anos de atuação ininterrupta no mercado financeiro brasileiro, período no qual ampliou sua participação e consolidou sua marca como referência em intermediação de valores mobiliários.</w:t>
      </w:r>
    </w:p>
    <w:p w14:paraId="7CA41D56" w14:textId="77777777" w:rsidR="00305C60" w:rsidRPr="00302100" w:rsidRDefault="00305C60" w:rsidP="00305C60">
      <w:pPr>
        <w:jc w:val="both"/>
        <w:rPr>
          <w:color w:val="404040" w:themeColor="text1" w:themeTint="BF"/>
        </w:rPr>
      </w:pPr>
      <w:r w:rsidRPr="00302100">
        <w:rPr>
          <w:color w:val="404040" w:themeColor="text1" w:themeTint="BF"/>
        </w:rPr>
        <w:t>Dessa forma, atende plenamente ao requisito mínimo de experiência exigido pela Portaria MTP nº 1.467/2022 para credenciamento junto aos RPPS.</w:t>
      </w:r>
    </w:p>
    <w:p w14:paraId="5BDBA0DF" w14:textId="000966DA" w:rsidR="003804EF" w:rsidRPr="00385677" w:rsidRDefault="003804EF" w:rsidP="00C54188">
      <w:pPr>
        <w:rPr>
          <w:color w:val="404040" w:themeColor="text1" w:themeTint="BF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4FCAEB13" w14:textId="77777777" w:rsidTr="003804EF">
        <w:tc>
          <w:tcPr>
            <w:tcW w:w="8494" w:type="dxa"/>
          </w:tcPr>
          <w:p w14:paraId="6A516635" w14:textId="77777777" w:rsidR="003804EF" w:rsidRPr="00385677" w:rsidRDefault="003804EF" w:rsidP="009A5292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 xml:space="preserve">SOBRE QUALIFICAÇÃO DO CORPO TÉCNICO: </w:t>
            </w:r>
          </w:p>
        </w:tc>
      </w:tr>
    </w:tbl>
    <w:p w14:paraId="745E6387" w14:textId="4B189801" w:rsidR="0020190A" w:rsidRPr="00CB0BFE" w:rsidRDefault="0020190A" w:rsidP="0020190A">
      <w:pPr>
        <w:jc w:val="both"/>
        <w:rPr>
          <w:color w:val="404040" w:themeColor="text1" w:themeTint="BF"/>
        </w:rPr>
      </w:pPr>
      <w:r w:rsidRPr="00CB0BFE">
        <w:rPr>
          <w:color w:val="404040" w:themeColor="text1" w:themeTint="BF"/>
        </w:rPr>
        <w:t xml:space="preserve">A análise evidencia que a XP Investimentos mantém um programa estruturado e contínuo de capacitação de seus colaboradores, contemplando tanto o momento da contratação quanto processos anuais de reciclagem. Os treinamentos obrigatórios abrangem temas essenciais à governança e conformidade, como anticorrupção e compliance, investimentos pessoais, </w:t>
      </w:r>
      <w:proofErr w:type="spellStart"/>
      <w:r w:rsidRPr="00CB0BFE">
        <w:rPr>
          <w:color w:val="404040" w:themeColor="text1" w:themeTint="BF"/>
        </w:rPr>
        <w:t>suitability</w:t>
      </w:r>
      <w:proofErr w:type="spellEnd"/>
      <w:r w:rsidRPr="00CB0BFE">
        <w:rPr>
          <w:color w:val="404040" w:themeColor="text1" w:themeTint="BF"/>
        </w:rPr>
        <w:t>, prevenção à lavagem de dinheiro, segurança da informação, riscos financeiros, circulação de informações e uso de mídias sociais. Todo o processo é realizado via plataforma online, com aplicação de testes de retenção de conteúdo e emissão de certificado ao término, assegurando controle efetivo da participação.</w:t>
      </w:r>
    </w:p>
    <w:p w14:paraId="641D3A1C" w14:textId="77777777" w:rsidR="0020190A" w:rsidRDefault="0020190A" w:rsidP="0020190A">
      <w:pPr>
        <w:jc w:val="both"/>
        <w:rPr>
          <w:color w:val="404040" w:themeColor="text1" w:themeTint="BF"/>
        </w:rPr>
      </w:pPr>
      <w:r w:rsidRPr="00CB0BFE">
        <w:rPr>
          <w:color w:val="404040" w:themeColor="text1" w:themeTint="BF"/>
        </w:rPr>
        <w:t xml:space="preserve">Em situações de descumprimento das obrigações de capacitação, o departamento de Compliance adota medidas de </w:t>
      </w:r>
      <w:proofErr w:type="spellStart"/>
      <w:r w:rsidRPr="00CB0BFE">
        <w:rPr>
          <w:color w:val="404040" w:themeColor="text1" w:themeTint="BF"/>
        </w:rPr>
        <w:t>enforcement</w:t>
      </w:r>
      <w:proofErr w:type="spellEnd"/>
      <w:r w:rsidRPr="00CB0BFE">
        <w:rPr>
          <w:color w:val="404040" w:themeColor="text1" w:themeTint="BF"/>
        </w:rPr>
        <w:t>, que podem incluir sanções disciplinares e restrição de acessos operacionais. Entre os treinamentos de maior relevância, destaca-se o de Prevenção à Lavagem de Dinheiro e Combate ao Financiamento do Terrorismo e da Proliferação de Armas de Destruição em Massa (PLD/FTP), no qual são abordados aspectos como identificação e reporte de operações suspeitas às autoridades competentes, exemplos práticos de mecanismos de lavagem de dinheiro relacionados a produtos e serviços da instituição, bem como as regras internas pertinentes ao tema e às normas anticorrupção. A utilização de casos concretos, associada ao teste de retenção e à emissão de certificado, reforça a efetividade do processo e a cultura de integridade na organização.</w:t>
      </w:r>
    </w:p>
    <w:p w14:paraId="504B3EFB" w14:textId="77777777" w:rsidR="0020190A" w:rsidRPr="00393763" w:rsidRDefault="0020190A" w:rsidP="0020190A">
      <w:pPr>
        <w:jc w:val="both"/>
        <w:rPr>
          <w:color w:val="404040" w:themeColor="text1" w:themeTint="BF"/>
        </w:rPr>
      </w:pPr>
      <w:r w:rsidRPr="00393763">
        <w:rPr>
          <w:color w:val="404040" w:themeColor="text1" w:themeTint="BF"/>
        </w:rPr>
        <w:t>A XP Investimentos dispõe de um quadro de profissionais altamente qualificados, com certificações exigidas pela ANBIMA e CVM (CPA-20, CEA, CGA, entre outras), o que assegura que os processos de distribuição e atendimento aos clientes institucionais sejam conduzidos com competência técnica.</w:t>
      </w:r>
    </w:p>
    <w:p w14:paraId="71BBF1DB" w14:textId="77777777" w:rsidR="0020190A" w:rsidRPr="00393763" w:rsidRDefault="0020190A" w:rsidP="0020190A">
      <w:pPr>
        <w:jc w:val="both"/>
        <w:rPr>
          <w:color w:val="404040" w:themeColor="text1" w:themeTint="BF"/>
        </w:rPr>
      </w:pPr>
      <w:r w:rsidRPr="00393763">
        <w:rPr>
          <w:color w:val="404040" w:themeColor="text1" w:themeTint="BF"/>
        </w:rPr>
        <w:t>A instituição investe fortemente em capacitação e atualização de seus colaboradores, incluindo treinamentos regulares em conformidade regulatória, gestão de riscos, governança e novas tecnologias.</w:t>
      </w:r>
    </w:p>
    <w:p w14:paraId="523A541F" w14:textId="77777777" w:rsidR="0020190A" w:rsidRDefault="0020190A" w:rsidP="0020190A">
      <w:pPr>
        <w:jc w:val="both"/>
        <w:rPr>
          <w:color w:val="404040" w:themeColor="text1" w:themeTint="BF"/>
        </w:rPr>
      </w:pPr>
      <w:r w:rsidRPr="00393763">
        <w:rPr>
          <w:color w:val="404040" w:themeColor="text1" w:themeTint="BF"/>
        </w:rPr>
        <w:t>O corpo técnico é respaldado por comitês de risco, compliance e auditoria, que reforçam a estrutura de governança e o processo decisório de forma colegiada.</w:t>
      </w:r>
    </w:p>
    <w:p w14:paraId="7DDD4B08" w14:textId="77777777" w:rsidR="003804EF" w:rsidRPr="00385677" w:rsidRDefault="003804EF" w:rsidP="00C54188">
      <w:pPr>
        <w:rPr>
          <w:b/>
          <w:bCs/>
          <w:color w:val="404040" w:themeColor="text1" w:themeTint="BF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59D50E52" w14:textId="77777777" w:rsidTr="003804EF">
        <w:tc>
          <w:tcPr>
            <w:tcW w:w="8494" w:type="dxa"/>
          </w:tcPr>
          <w:p w14:paraId="0C314948" w14:textId="77777777" w:rsidR="003804EF" w:rsidRPr="00385677" w:rsidRDefault="003804EF" w:rsidP="00EA63EB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SOBRE SEGREGAÇÃO DE ATIVIDADES:</w:t>
            </w:r>
          </w:p>
        </w:tc>
      </w:tr>
    </w:tbl>
    <w:p w14:paraId="6A077913" w14:textId="77777777" w:rsidR="007567CE" w:rsidRPr="00926B41" w:rsidRDefault="007567CE" w:rsidP="007567CE">
      <w:pPr>
        <w:jc w:val="both"/>
        <w:rPr>
          <w:color w:val="404040" w:themeColor="text1" w:themeTint="BF"/>
        </w:rPr>
      </w:pPr>
      <w:r w:rsidRPr="00926B41">
        <w:rPr>
          <w:color w:val="404040" w:themeColor="text1" w:themeTint="BF"/>
        </w:rPr>
        <w:t>A XP mantém segregação clara entre as funções de distribuição, compliance, gestão de risco, auditoria e relacionamento com clientes, garantindo independência e mitigação de conflitos de interesse.</w:t>
      </w:r>
    </w:p>
    <w:p w14:paraId="3BBCC4AA" w14:textId="77777777" w:rsidR="007567CE" w:rsidRDefault="007567CE" w:rsidP="007567CE">
      <w:pPr>
        <w:jc w:val="both"/>
        <w:rPr>
          <w:color w:val="404040" w:themeColor="text1" w:themeTint="BF"/>
        </w:rPr>
      </w:pPr>
      <w:r w:rsidRPr="00926B41">
        <w:rPr>
          <w:color w:val="404040" w:themeColor="text1" w:themeTint="BF"/>
        </w:rPr>
        <w:lastRenderedPageBreak/>
        <w:t>Essa estrutura organizacional é compatível com as melhores práticas de governança do mercado, proporcionando maior segurança e confiabilidade na condução das atividades de intermediação e distribuição de fundos de investimento.</w:t>
      </w:r>
    </w:p>
    <w:p w14:paraId="53D183C6" w14:textId="77777777" w:rsidR="007567CE" w:rsidRDefault="007567CE" w:rsidP="007567CE">
      <w:pPr>
        <w:jc w:val="both"/>
        <w:rPr>
          <w:color w:val="404040" w:themeColor="text1" w:themeTint="BF"/>
        </w:rPr>
      </w:pPr>
      <w:r w:rsidRPr="002C4C86">
        <w:rPr>
          <w:color w:val="404040" w:themeColor="text1" w:themeTint="BF"/>
        </w:rPr>
        <w:t xml:space="preserve">Para controlar o uso e acesso às informações privilegiadas, garantir a segregação das atividades desenvolvidas e evitar conflitos de interesse, a XP Investimentos aplica o conceito de </w:t>
      </w:r>
      <w:proofErr w:type="spellStart"/>
      <w:r w:rsidRPr="002C4C86">
        <w:rPr>
          <w:color w:val="404040" w:themeColor="text1" w:themeTint="BF"/>
        </w:rPr>
        <w:t>informatio</w:t>
      </w:r>
      <w:r>
        <w:rPr>
          <w:color w:val="404040" w:themeColor="text1" w:themeTint="BF"/>
        </w:rPr>
        <w:t>n</w:t>
      </w:r>
      <w:proofErr w:type="spellEnd"/>
      <w:r>
        <w:rPr>
          <w:color w:val="404040" w:themeColor="text1" w:themeTint="BF"/>
        </w:rPr>
        <w:t xml:space="preserve"> </w:t>
      </w:r>
      <w:proofErr w:type="spellStart"/>
      <w:r w:rsidRPr="002C4C86">
        <w:rPr>
          <w:color w:val="404040" w:themeColor="text1" w:themeTint="BF"/>
        </w:rPr>
        <w:t>wall</w:t>
      </w:r>
      <w:proofErr w:type="spellEnd"/>
      <w:r w:rsidRPr="002C4C86">
        <w:rPr>
          <w:color w:val="404040" w:themeColor="text1" w:themeTint="BF"/>
        </w:rPr>
        <w:t>, que consiste em separar as informações de colaboradores envolvidos em atividades de vendas, negociação e pesquisa (o “lado público”), daqueles envolvidos em atividades de investimentos, gerenciamento de relacionamentos e clientes (o “lado privado”). Esta separação é feita através de segregação física, com acessos exclusivos, determinados por área de negócio e fornecidos por meio do crachá. Esta barreira de informações é garantida pelo Compliance que tem acesso a informações de ambos os lados e se incumbe de manter a integridade da barreira, por meio de controle do mapa de acessos, movimentações de colaboradores, monitoramentos de e-mails e demais ações voltadas para a supervisão de atividades da empresa e de seus colaboradores.</w:t>
      </w:r>
    </w:p>
    <w:p w14:paraId="42802574" w14:textId="77777777" w:rsidR="00B50007" w:rsidRPr="00385677" w:rsidRDefault="00B50007" w:rsidP="00BB44DD">
      <w:pPr>
        <w:pStyle w:val="PargrafodaLista"/>
        <w:rPr>
          <w:b/>
          <w:bCs/>
          <w:color w:val="404040" w:themeColor="text1" w:themeTint="BF"/>
        </w:rPr>
      </w:pPr>
    </w:p>
    <w:p w14:paraId="1B50EA88" w14:textId="472148D6" w:rsidR="00BB44DD" w:rsidRPr="00385677" w:rsidRDefault="00C47F93" w:rsidP="00BB44DD">
      <w:pPr>
        <w:rPr>
          <w:b/>
          <w:bCs/>
          <w:color w:val="3B3B98"/>
          <w:sz w:val="28"/>
          <w:szCs w:val="28"/>
        </w:rPr>
      </w:pPr>
      <w:r>
        <w:rPr>
          <w:b/>
          <w:bCs/>
          <w:color w:val="3B3B98"/>
          <w:sz w:val="28"/>
          <w:szCs w:val="28"/>
        </w:rPr>
        <w:t>VII</w:t>
      </w:r>
      <w:r w:rsidR="00BB44DD" w:rsidRPr="00385677">
        <w:rPr>
          <w:b/>
          <w:bCs/>
          <w:color w:val="3B3B98"/>
          <w:sz w:val="28"/>
          <w:szCs w:val="28"/>
        </w:rPr>
        <w:t xml:space="preserve"> – PARECER </w:t>
      </w:r>
      <w:r w:rsidR="00B50007" w:rsidRPr="00385677">
        <w:rPr>
          <w:b/>
          <w:bCs/>
          <w:color w:val="3B3B98"/>
          <w:sz w:val="28"/>
          <w:szCs w:val="28"/>
        </w:rPr>
        <w:t xml:space="preserve">SOBRE A INSTITUIÇÃO </w:t>
      </w:r>
    </w:p>
    <w:p w14:paraId="492B402E" w14:textId="77777777" w:rsidR="000E42F9" w:rsidRPr="0029259D" w:rsidRDefault="000E42F9" w:rsidP="000E42F9">
      <w:pPr>
        <w:jc w:val="both"/>
        <w:rPr>
          <w:color w:val="404040" w:themeColor="text1" w:themeTint="BF"/>
        </w:rPr>
      </w:pPr>
      <w:r w:rsidRPr="0029259D">
        <w:rPr>
          <w:color w:val="404040" w:themeColor="text1" w:themeTint="BF"/>
        </w:rPr>
        <w:t>A XP apresentou formulário de diligência padronizado ANBIMA, contendo informações sobre estrutura, corpo técnico, governança, volume de recursos e aderência regulatória.</w:t>
      </w:r>
    </w:p>
    <w:p w14:paraId="1B4A0991" w14:textId="77777777" w:rsidR="000E42F9" w:rsidRPr="0029259D" w:rsidRDefault="000E42F9" w:rsidP="000E42F9">
      <w:pPr>
        <w:jc w:val="both"/>
        <w:rPr>
          <w:color w:val="404040" w:themeColor="text1" w:themeTint="BF"/>
        </w:rPr>
      </w:pPr>
      <w:r w:rsidRPr="0029259D">
        <w:rPr>
          <w:color w:val="404040" w:themeColor="text1" w:themeTint="BF"/>
        </w:rPr>
        <w:t>Esse material reforça o compromisso da instituição com a transparência, a ética e a conformidade regulatória, servindo de base para a decisão de credenciamento junto aos RPPS.</w:t>
      </w:r>
    </w:p>
    <w:p w14:paraId="025DC5E3" w14:textId="77777777" w:rsidR="000E42F9" w:rsidRPr="0029259D" w:rsidRDefault="000E42F9" w:rsidP="000E42F9">
      <w:pPr>
        <w:jc w:val="both"/>
        <w:rPr>
          <w:color w:val="404040" w:themeColor="text1" w:themeTint="BF"/>
        </w:rPr>
      </w:pPr>
      <w:r w:rsidRPr="0029259D">
        <w:rPr>
          <w:color w:val="404040" w:themeColor="text1" w:themeTint="BF"/>
        </w:rPr>
        <w:t>Adicionalmente, a XP Investimentos é aderente a diversos Códigos de Autorregulação da ANBIMA, o que amplia o grau de segurança e governança de sua atuação, incluindo:</w:t>
      </w:r>
    </w:p>
    <w:p w14:paraId="627D5082" w14:textId="77777777" w:rsidR="000E42F9" w:rsidRPr="0029259D" w:rsidRDefault="000E42F9" w:rsidP="000E42F9">
      <w:pPr>
        <w:rPr>
          <w:color w:val="404040" w:themeColor="text1" w:themeTint="BF"/>
        </w:rPr>
      </w:pPr>
      <w:r w:rsidRPr="0029259D">
        <w:rPr>
          <w:color w:val="404040" w:themeColor="text1" w:themeTint="BF"/>
        </w:rPr>
        <w:t>(i) Código de Administração de Recursos de Terceiros;</w:t>
      </w:r>
    </w:p>
    <w:p w14:paraId="7C866A29" w14:textId="77777777" w:rsidR="000E42F9" w:rsidRPr="0029259D" w:rsidRDefault="000E42F9" w:rsidP="000E42F9">
      <w:pPr>
        <w:rPr>
          <w:color w:val="404040" w:themeColor="text1" w:themeTint="BF"/>
        </w:rPr>
      </w:pPr>
      <w:r w:rsidRPr="0029259D">
        <w:rPr>
          <w:color w:val="404040" w:themeColor="text1" w:themeTint="BF"/>
        </w:rPr>
        <w:t>(</w:t>
      </w:r>
      <w:proofErr w:type="spellStart"/>
      <w:r w:rsidRPr="0029259D">
        <w:rPr>
          <w:color w:val="404040" w:themeColor="text1" w:themeTint="BF"/>
        </w:rPr>
        <w:t>ii</w:t>
      </w:r>
      <w:proofErr w:type="spellEnd"/>
      <w:r w:rsidRPr="0029259D">
        <w:rPr>
          <w:color w:val="404040" w:themeColor="text1" w:themeTint="BF"/>
        </w:rPr>
        <w:t>) Código de Distribuição de Produtos de Investimento;</w:t>
      </w:r>
    </w:p>
    <w:p w14:paraId="4BA39D0E" w14:textId="77777777" w:rsidR="000E42F9" w:rsidRPr="0029259D" w:rsidRDefault="000E42F9" w:rsidP="000E42F9">
      <w:pPr>
        <w:rPr>
          <w:color w:val="404040" w:themeColor="text1" w:themeTint="BF"/>
        </w:rPr>
      </w:pPr>
      <w:r w:rsidRPr="0029259D">
        <w:rPr>
          <w:color w:val="404040" w:themeColor="text1" w:themeTint="BF"/>
        </w:rPr>
        <w:t>(</w:t>
      </w:r>
      <w:proofErr w:type="spellStart"/>
      <w:r w:rsidRPr="0029259D">
        <w:rPr>
          <w:color w:val="404040" w:themeColor="text1" w:themeTint="BF"/>
        </w:rPr>
        <w:t>iii</w:t>
      </w:r>
      <w:proofErr w:type="spellEnd"/>
      <w:r w:rsidRPr="0029259D">
        <w:rPr>
          <w:color w:val="404040" w:themeColor="text1" w:themeTint="BF"/>
        </w:rPr>
        <w:t>) Código de Negociação de Instrumentos Financeiros;</w:t>
      </w:r>
    </w:p>
    <w:p w14:paraId="5ECD0D28" w14:textId="77777777" w:rsidR="000E42F9" w:rsidRPr="0029259D" w:rsidRDefault="000E42F9" w:rsidP="000E42F9">
      <w:pPr>
        <w:rPr>
          <w:color w:val="404040" w:themeColor="text1" w:themeTint="BF"/>
        </w:rPr>
      </w:pPr>
      <w:r w:rsidRPr="0029259D">
        <w:rPr>
          <w:color w:val="404040" w:themeColor="text1" w:themeTint="BF"/>
        </w:rPr>
        <w:t>(</w:t>
      </w:r>
      <w:proofErr w:type="spellStart"/>
      <w:r w:rsidRPr="0029259D">
        <w:rPr>
          <w:color w:val="404040" w:themeColor="text1" w:themeTint="BF"/>
        </w:rPr>
        <w:t>iv</w:t>
      </w:r>
      <w:proofErr w:type="spellEnd"/>
      <w:r w:rsidRPr="0029259D">
        <w:rPr>
          <w:color w:val="404040" w:themeColor="text1" w:themeTint="BF"/>
        </w:rPr>
        <w:t>) Código de Ofertas Públicas;</w:t>
      </w:r>
    </w:p>
    <w:p w14:paraId="7B7EA705" w14:textId="77777777" w:rsidR="000E42F9" w:rsidRPr="0029259D" w:rsidRDefault="000E42F9" w:rsidP="000E42F9">
      <w:pPr>
        <w:rPr>
          <w:color w:val="404040" w:themeColor="text1" w:themeTint="BF"/>
        </w:rPr>
      </w:pPr>
      <w:r w:rsidRPr="0029259D">
        <w:rPr>
          <w:color w:val="404040" w:themeColor="text1" w:themeTint="BF"/>
        </w:rPr>
        <w:t>(v) Código de Ética;</w:t>
      </w:r>
    </w:p>
    <w:p w14:paraId="44DA75CF" w14:textId="77777777" w:rsidR="000E42F9" w:rsidRPr="0029259D" w:rsidRDefault="000E42F9" w:rsidP="000E42F9">
      <w:pPr>
        <w:rPr>
          <w:color w:val="404040" w:themeColor="text1" w:themeTint="BF"/>
        </w:rPr>
      </w:pPr>
      <w:r w:rsidRPr="0029259D">
        <w:rPr>
          <w:color w:val="404040" w:themeColor="text1" w:themeTint="BF"/>
        </w:rPr>
        <w:t>(vi) Código dos Processos da Regulação e Melhores Práticas;</w:t>
      </w:r>
    </w:p>
    <w:p w14:paraId="0BE65DF2" w14:textId="77777777" w:rsidR="000E42F9" w:rsidRPr="0029259D" w:rsidRDefault="000E42F9" w:rsidP="000E42F9">
      <w:pPr>
        <w:rPr>
          <w:color w:val="404040" w:themeColor="text1" w:themeTint="BF"/>
        </w:rPr>
      </w:pPr>
      <w:r w:rsidRPr="0029259D">
        <w:rPr>
          <w:color w:val="404040" w:themeColor="text1" w:themeTint="BF"/>
        </w:rPr>
        <w:t>(</w:t>
      </w:r>
      <w:proofErr w:type="spellStart"/>
      <w:r w:rsidRPr="0029259D">
        <w:rPr>
          <w:color w:val="404040" w:themeColor="text1" w:themeTint="BF"/>
        </w:rPr>
        <w:t>vii</w:t>
      </w:r>
      <w:proofErr w:type="spellEnd"/>
      <w:r w:rsidRPr="0029259D">
        <w:rPr>
          <w:color w:val="404040" w:themeColor="text1" w:themeTint="BF"/>
        </w:rPr>
        <w:t>) Código para Serviços Qualificados ao Mercado de Capitais;</w:t>
      </w:r>
    </w:p>
    <w:p w14:paraId="1FAEB4EE" w14:textId="77777777" w:rsidR="000E42F9" w:rsidRDefault="000E42F9" w:rsidP="000E42F9">
      <w:pPr>
        <w:rPr>
          <w:color w:val="404040" w:themeColor="text1" w:themeTint="BF"/>
        </w:rPr>
      </w:pPr>
      <w:r w:rsidRPr="0029259D">
        <w:rPr>
          <w:color w:val="404040" w:themeColor="text1" w:themeTint="BF"/>
        </w:rPr>
        <w:t>(</w:t>
      </w:r>
      <w:proofErr w:type="spellStart"/>
      <w:r w:rsidRPr="0029259D">
        <w:rPr>
          <w:color w:val="404040" w:themeColor="text1" w:themeTint="BF"/>
        </w:rPr>
        <w:t>viii</w:t>
      </w:r>
      <w:proofErr w:type="spellEnd"/>
      <w:r w:rsidRPr="0029259D">
        <w:rPr>
          <w:color w:val="404040" w:themeColor="text1" w:themeTint="BF"/>
        </w:rPr>
        <w:t>) Código para o Programa de Certificação Continuada.</w:t>
      </w:r>
    </w:p>
    <w:p w14:paraId="7A06C4E5" w14:textId="77777777" w:rsidR="000E42F9" w:rsidRPr="0029259D" w:rsidRDefault="000E42F9" w:rsidP="000E42F9">
      <w:pPr>
        <w:rPr>
          <w:color w:val="404040" w:themeColor="text1" w:themeTint="BF"/>
        </w:rPr>
      </w:pPr>
    </w:p>
    <w:p w14:paraId="7278CB64" w14:textId="0D12637B" w:rsidR="003C1B37" w:rsidRPr="00385677" w:rsidRDefault="00C47F93" w:rsidP="00BB44DD">
      <w:pPr>
        <w:rPr>
          <w:b/>
          <w:bCs/>
          <w:color w:val="3B3B98"/>
          <w:sz w:val="28"/>
          <w:szCs w:val="28"/>
        </w:rPr>
      </w:pPr>
      <w:r>
        <w:rPr>
          <w:b/>
          <w:bCs/>
          <w:color w:val="3B3B98"/>
          <w:sz w:val="28"/>
          <w:szCs w:val="28"/>
        </w:rPr>
        <w:t>VIII</w:t>
      </w:r>
      <w:r w:rsidR="003C1B37" w:rsidRPr="00385677">
        <w:rPr>
          <w:b/>
          <w:bCs/>
          <w:color w:val="3B3B98"/>
          <w:sz w:val="28"/>
          <w:szCs w:val="28"/>
        </w:rPr>
        <w:t xml:space="preserve"> – RESPONSÁVEIS PELO CREDENCIAMENTO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1841"/>
        <w:gridCol w:w="2124"/>
        <w:gridCol w:w="2124"/>
      </w:tblGrid>
      <w:tr w:rsidR="00D95107" w14:paraId="165CAEEE" w14:textId="77777777" w:rsidTr="0082059B">
        <w:trPr>
          <w:trHeight w:val="410"/>
        </w:trPr>
        <w:tc>
          <w:tcPr>
            <w:tcW w:w="2405" w:type="dxa"/>
            <w:shd w:val="clear" w:color="auto" w:fill="3B3B98"/>
            <w:vAlign w:val="center"/>
          </w:tcPr>
          <w:p w14:paraId="19FCA6EB" w14:textId="61ECAAA1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NOME</w:t>
            </w:r>
          </w:p>
        </w:tc>
        <w:tc>
          <w:tcPr>
            <w:tcW w:w="1841" w:type="dxa"/>
            <w:shd w:val="clear" w:color="auto" w:fill="3B3B98"/>
            <w:vAlign w:val="center"/>
          </w:tcPr>
          <w:p w14:paraId="0C9C3FBF" w14:textId="0A21E465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CARGO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6146399B" w14:textId="4032BA3F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CPF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5E1CEA7D" w14:textId="3FA22F1B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ASSINATURA</w:t>
            </w:r>
          </w:p>
        </w:tc>
      </w:tr>
      <w:tr w:rsidR="00D95107" w14:paraId="6A2ADB73" w14:textId="77777777" w:rsidTr="00341BEC">
        <w:trPr>
          <w:trHeight w:val="697"/>
        </w:trPr>
        <w:tc>
          <w:tcPr>
            <w:tcW w:w="2405" w:type="dxa"/>
            <w:vAlign w:val="center"/>
          </w:tcPr>
          <w:p w14:paraId="7CAF9B0D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77DC4392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8193000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953427F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23B55F1B" w14:textId="77777777" w:rsidTr="00341BEC">
        <w:trPr>
          <w:trHeight w:val="849"/>
        </w:trPr>
        <w:tc>
          <w:tcPr>
            <w:tcW w:w="2405" w:type="dxa"/>
            <w:vAlign w:val="center"/>
          </w:tcPr>
          <w:p w14:paraId="0931B867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537BF0ED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4D6A610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49AD9837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59198BDE" w14:textId="77777777" w:rsidTr="00341BEC">
        <w:trPr>
          <w:trHeight w:val="975"/>
        </w:trPr>
        <w:tc>
          <w:tcPr>
            <w:tcW w:w="2405" w:type="dxa"/>
            <w:vAlign w:val="center"/>
          </w:tcPr>
          <w:p w14:paraId="000E6295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42E8A474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71F9C411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15E3A40F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73F4C863" w14:textId="77777777" w:rsidR="0080731D" w:rsidRPr="00BB44DD" w:rsidRDefault="0080731D" w:rsidP="00BB44DD">
      <w:pPr>
        <w:rPr>
          <w:b/>
          <w:bCs/>
        </w:rPr>
      </w:pPr>
    </w:p>
    <w:sectPr w:rsidR="0080731D" w:rsidRPr="00BB44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149BA"/>
    <w:multiLevelType w:val="multilevel"/>
    <w:tmpl w:val="5E926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08DB1D"/>
    <w:multiLevelType w:val="hybridMultilevel"/>
    <w:tmpl w:val="67E083C2"/>
    <w:lvl w:ilvl="0" w:tplc="0EC60524">
      <w:start w:val="1"/>
      <w:numFmt w:val="decimal"/>
      <w:lvlText w:val="%1."/>
      <w:lvlJc w:val="left"/>
      <w:pPr>
        <w:ind w:left="720" w:hanging="360"/>
      </w:pPr>
    </w:lvl>
    <w:lvl w:ilvl="1" w:tplc="98B01C04">
      <w:start w:val="1"/>
      <w:numFmt w:val="lowerLetter"/>
      <w:lvlText w:val="%2."/>
      <w:lvlJc w:val="left"/>
      <w:pPr>
        <w:ind w:left="1440" w:hanging="360"/>
      </w:pPr>
    </w:lvl>
    <w:lvl w:ilvl="2" w:tplc="2A9C1ABE">
      <w:start w:val="1"/>
      <w:numFmt w:val="lowerRoman"/>
      <w:lvlText w:val="%3."/>
      <w:lvlJc w:val="right"/>
      <w:pPr>
        <w:ind w:left="2160" w:hanging="180"/>
      </w:pPr>
    </w:lvl>
    <w:lvl w:ilvl="3" w:tplc="4DEE03CA">
      <w:start w:val="1"/>
      <w:numFmt w:val="decimal"/>
      <w:lvlText w:val="%4."/>
      <w:lvlJc w:val="left"/>
      <w:pPr>
        <w:ind w:left="2880" w:hanging="360"/>
      </w:pPr>
    </w:lvl>
    <w:lvl w:ilvl="4" w:tplc="DBBAEE5A">
      <w:start w:val="1"/>
      <w:numFmt w:val="lowerLetter"/>
      <w:lvlText w:val="%5."/>
      <w:lvlJc w:val="left"/>
      <w:pPr>
        <w:ind w:left="3600" w:hanging="360"/>
      </w:pPr>
    </w:lvl>
    <w:lvl w:ilvl="5" w:tplc="923801FC">
      <w:start w:val="1"/>
      <w:numFmt w:val="lowerRoman"/>
      <w:lvlText w:val="%6."/>
      <w:lvlJc w:val="right"/>
      <w:pPr>
        <w:ind w:left="4320" w:hanging="180"/>
      </w:pPr>
    </w:lvl>
    <w:lvl w:ilvl="6" w:tplc="9DD8F744">
      <w:start w:val="1"/>
      <w:numFmt w:val="decimal"/>
      <w:lvlText w:val="%7."/>
      <w:lvlJc w:val="left"/>
      <w:pPr>
        <w:ind w:left="5040" w:hanging="360"/>
      </w:pPr>
    </w:lvl>
    <w:lvl w:ilvl="7" w:tplc="A61E3EC2">
      <w:start w:val="1"/>
      <w:numFmt w:val="lowerLetter"/>
      <w:lvlText w:val="%8."/>
      <w:lvlJc w:val="left"/>
      <w:pPr>
        <w:ind w:left="5760" w:hanging="360"/>
      </w:pPr>
    </w:lvl>
    <w:lvl w:ilvl="8" w:tplc="F9B2DE5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55B7E"/>
    <w:multiLevelType w:val="multilevel"/>
    <w:tmpl w:val="983A8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6A25C3"/>
    <w:multiLevelType w:val="hybridMultilevel"/>
    <w:tmpl w:val="1FBCF3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E6A68"/>
    <w:multiLevelType w:val="hybridMultilevel"/>
    <w:tmpl w:val="08F85D1E"/>
    <w:lvl w:ilvl="0" w:tplc="53A08E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282873">
    <w:abstractNumId w:val="0"/>
  </w:num>
  <w:num w:numId="2" w16cid:durableId="136650435">
    <w:abstractNumId w:val="2"/>
  </w:num>
  <w:num w:numId="3" w16cid:durableId="111025234">
    <w:abstractNumId w:val="4"/>
  </w:num>
  <w:num w:numId="4" w16cid:durableId="1228955984">
    <w:abstractNumId w:val="3"/>
  </w:num>
  <w:num w:numId="5" w16cid:durableId="562835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C11"/>
    <w:rsid w:val="00021AF0"/>
    <w:rsid w:val="00037500"/>
    <w:rsid w:val="00074CF2"/>
    <w:rsid w:val="00077285"/>
    <w:rsid w:val="000814B5"/>
    <w:rsid w:val="00084404"/>
    <w:rsid w:val="000A698F"/>
    <w:rsid w:val="000C2B8B"/>
    <w:rsid w:val="000C4EB2"/>
    <w:rsid w:val="000E42F9"/>
    <w:rsid w:val="000F4A3B"/>
    <w:rsid w:val="001076CA"/>
    <w:rsid w:val="00155D8D"/>
    <w:rsid w:val="001A07C0"/>
    <w:rsid w:val="001A518B"/>
    <w:rsid w:val="001D055A"/>
    <w:rsid w:val="001D5F30"/>
    <w:rsid w:val="0020190A"/>
    <w:rsid w:val="002236DC"/>
    <w:rsid w:val="00235EFB"/>
    <w:rsid w:val="00237256"/>
    <w:rsid w:val="00256A36"/>
    <w:rsid w:val="002A5E0C"/>
    <w:rsid w:val="002B4DAC"/>
    <w:rsid w:val="002D6757"/>
    <w:rsid w:val="002F2C11"/>
    <w:rsid w:val="00303C73"/>
    <w:rsid w:val="00305C60"/>
    <w:rsid w:val="00315823"/>
    <w:rsid w:val="00341BEC"/>
    <w:rsid w:val="003527AD"/>
    <w:rsid w:val="00374AF8"/>
    <w:rsid w:val="003804EF"/>
    <w:rsid w:val="00385677"/>
    <w:rsid w:val="003A48B1"/>
    <w:rsid w:val="003B6B9D"/>
    <w:rsid w:val="003C02D6"/>
    <w:rsid w:val="003C1B37"/>
    <w:rsid w:val="00423417"/>
    <w:rsid w:val="004323A2"/>
    <w:rsid w:val="00495179"/>
    <w:rsid w:val="004E24F4"/>
    <w:rsid w:val="004E3710"/>
    <w:rsid w:val="004E5418"/>
    <w:rsid w:val="004E7CA0"/>
    <w:rsid w:val="00523C5E"/>
    <w:rsid w:val="00530C34"/>
    <w:rsid w:val="005319BD"/>
    <w:rsid w:val="00566B27"/>
    <w:rsid w:val="005A2F02"/>
    <w:rsid w:val="005C792E"/>
    <w:rsid w:val="005E1713"/>
    <w:rsid w:val="00693C84"/>
    <w:rsid w:val="006A19E0"/>
    <w:rsid w:val="006C3D16"/>
    <w:rsid w:val="006E6BAD"/>
    <w:rsid w:val="00700622"/>
    <w:rsid w:val="00713A19"/>
    <w:rsid w:val="00722B97"/>
    <w:rsid w:val="007567CE"/>
    <w:rsid w:val="00765243"/>
    <w:rsid w:val="007A12A0"/>
    <w:rsid w:val="007D584C"/>
    <w:rsid w:val="007F137B"/>
    <w:rsid w:val="0080731D"/>
    <w:rsid w:val="0082059B"/>
    <w:rsid w:val="00825D51"/>
    <w:rsid w:val="008316CE"/>
    <w:rsid w:val="0085754A"/>
    <w:rsid w:val="00882B8B"/>
    <w:rsid w:val="00895EB2"/>
    <w:rsid w:val="00945D83"/>
    <w:rsid w:val="00954F88"/>
    <w:rsid w:val="00973893"/>
    <w:rsid w:val="009B3E34"/>
    <w:rsid w:val="00A12FE8"/>
    <w:rsid w:val="00AA0BB3"/>
    <w:rsid w:val="00B0309F"/>
    <w:rsid w:val="00B131B0"/>
    <w:rsid w:val="00B34D64"/>
    <w:rsid w:val="00B50007"/>
    <w:rsid w:val="00BB44DD"/>
    <w:rsid w:val="00BD30F3"/>
    <w:rsid w:val="00C47F93"/>
    <w:rsid w:val="00C54188"/>
    <w:rsid w:val="00C90EA7"/>
    <w:rsid w:val="00CC4E7D"/>
    <w:rsid w:val="00CE1A54"/>
    <w:rsid w:val="00D171AE"/>
    <w:rsid w:val="00D2305E"/>
    <w:rsid w:val="00D42F33"/>
    <w:rsid w:val="00D7532C"/>
    <w:rsid w:val="00D95107"/>
    <w:rsid w:val="00E34495"/>
    <w:rsid w:val="00E60EAF"/>
    <w:rsid w:val="00E90BC1"/>
    <w:rsid w:val="00EA41D6"/>
    <w:rsid w:val="00ED5712"/>
    <w:rsid w:val="00EF0037"/>
    <w:rsid w:val="00EF38B4"/>
    <w:rsid w:val="00F11446"/>
    <w:rsid w:val="00FD3E35"/>
    <w:rsid w:val="00FF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D49A4"/>
  <w15:chartTrackingRefBased/>
  <w15:docId w15:val="{ED15A6E0-C30F-4EE1-B691-2DF8A9D7D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F2C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F2C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13A19"/>
    <w:pPr>
      <w:keepNext/>
      <w:keepLines/>
      <w:spacing w:before="40" w:after="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F2C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F2C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F2C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F2C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F2C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F2C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713A19"/>
    <w:rPr>
      <w:rFonts w:ascii="Arial" w:eastAsiaTheme="majorEastAsia" w:hAnsi="Arial" w:cstheme="majorBidi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2F2C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F2C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F2C1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F2C1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F2C1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F2C1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F2C1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F2C1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F2C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F2C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F2C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F2C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F2C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F2C1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F2C1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F2C1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F2C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F2C1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F2C11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AA0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70062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70062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70062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0062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0062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9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ed6347-2866-4686-b5b1-c7df6d3cd541" xsi:nil="true"/>
    <lcf76f155ced4ddcb4097134ff3c332f xmlns="e591e4b8-d87e-46f2-b65d-674af47c8d4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032A78465D21943B20E6B7E93116FD5" ma:contentTypeVersion="18" ma:contentTypeDescription="Crie um novo documento." ma:contentTypeScope="" ma:versionID="1c60d0b4c2de4f8e23b1e0feb6450c5a">
  <xsd:schema xmlns:xsd="http://www.w3.org/2001/XMLSchema" xmlns:xs="http://www.w3.org/2001/XMLSchema" xmlns:p="http://schemas.microsoft.com/office/2006/metadata/properties" xmlns:ns2="e591e4b8-d87e-46f2-b65d-674af47c8d4e" xmlns:ns3="54ed6347-2866-4686-b5b1-c7df6d3cd541" targetNamespace="http://schemas.microsoft.com/office/2006/metadata/properties" ma:root="true" ma:fieldsID="2bb4bf2deba5303fde076e99b1441275" ns2:_="" ns3:_="">
    <xsd:import namespace="e591e4b8-d87e-46f2-b65d-674af47c8d4e"/>
    <xsd:import namespace="54ed6347-2866-4686-b5b1-c7df6d3cd5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1e4b8-d87e-46f2-b65d-674af47c8d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efba4ee3-10d2-4154-bd15-9737ba1bb1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d6347-2866-4686-b5b1-c7df6d3cd54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4531cb-074b-4b10-9c47-7c0dff069ec7}" ma:internalName="TaxCatchAll" ma:showField="CatchAllData" ma:web="54ed6347-2866-4686-b5b1-c7df6d3cd5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2AAAA4-8737-4896-8A5A-02D8D3E335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E9ACA5-6097-42D8-8E22-6E53A1469E30}">
  <ds:schemaRefs>
    <ds:schemaRef ds:uri="http://schemas.microsoft.com/office/2006/metadata/properties"/>
    <ds:schemaRef ds:uri="http://schemas.microsoft.com/office/infopath/2007/PartnerControls"/>
    <ds:schemaRef ds:uri="54ed6347-2866-4686-b5b1-c7df6d3cd541"/>
    <ds:schemaRef ds:uri="e591e4b8-d87e-46f2-b65d-674af47c8d4e"/>
  </ds:schemaRefs>
</ds:datastoreItem>
</file>

<file path=customXml/itemProps3.xml><?xml version="1.0" encoding="utf-8"?>
<ds:datastoreItem xmlns:ds="http://schemas.openxmlformats.org/officeDocument/2006/customXml" ds:itemID="{7D0F3B5A-5DAD-4092-B907-0DD61E66B9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6</Pages>
  <Words>1870</Words>
  <Characters>10102</Characters>
  <Application>Microsoft Office Word</Application>
  <DocSecurity>0</DocSecurity>
  <Lines>84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Leite</dc:creator>
  <cp:keywords/>
  <dc:description/>
  <cp:lastModifiedBy>Rodolpho Malafaia</cp:lastModifiedBy>
  <cp:revision>76</cp:revision>
  <dcterms:created xsi:type="dcterms:W3CDTF">2024-09-04T21:09:00Z</dcterms:created>
  <dcterms:modified xsi:type="dcterms:W3CDTF">2025-08-21T13:26:00Z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0x0101008032A78465D21943B20E6B7E93116FD5</vt:lpwstr>
  </property>
  <property fmtid="{D5CDD505-2E9C-101B-9397-08002B2CF9AE}" pid="3" name="MediaServiceImageTags">
    <vt:lpwstr/>
  </property>
</Properties>
</file>